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宋体" w:hAnsi="宋体" w:cs="宋体"/>
          <w:b/>
          <w:bCs/>
          <w:sz w:val="36"/>
          <w:szCs w:val="36"/>
          <w:lang w:eastAsia="zh-CN"/>
        </w:rPr>
      </w:pPr>
      <w:r>
        <w:rPr>
          <w:rFonts w:hint="eastAsia" w:ascii="宋体" w:hAnsi="宋体" w:cs="宋体"/>
          <w:b/>
          <w:bCs/>
          <w:sz w:val="36"/>
          <w:szCs w:val="36"/>
        </w:rPr>
        <w:t>附件</w:t>
      </w:r>
      <w:r>
        <w:rPr>
          <w:rFonts w:hint="eastAsia" w:ascii="宋体" w:hAnsi="宋体" w:cs="宋体"/>
          <w:b/>
          <w:bCs/>
          <w:sz w:val="36"/>
          <w:szCs w:val="36"/>
          <w:lang w:eastAsia="zh-CN"/>
        </w:rPr>
        <w:t>一</w:t>
      </w:r>
    </w:p>
    <w:p>
      <w:pPr>
        <w:spacing w:line="440" w:lineRule="exact"/>
        <w:rPr>
          <w:rFonts w:hint="eastAsia" w:ascii="宋体" w:hAnsi="宋体" w:cs="宋体"/>
          <w:b/>
          <w:bCs/>
          <w:sz w:val="36"/>
          <w:szCs w:val="36"/>
          <w:lang w:eastAsia="zh-CN"/>
        </w:rPr>
      </w:pPr>
    </w:p>
    <w:tbl>
      <w:tblPr>
        <w:tblStyle w:val="4"/>
        <w:tblW w:w="11307" w:type="dxa"/>
        <w:jc w:val="center"/>
        <w:tblLayout w:type="fixed"/>
        <w:tblCellMar>
          <w:top w:w="0" w:type="dxa"/>
          <w:left w:w="108" w:type="dxa"/>
          <w:bottom w:w="0" w:type="dxa"/>
          <w:right w:w="108" w:type="dxa"/>
        </w:tblCellMar>
      </w:tblPr>
      <w:tblGrid>
        <w:gridCol w:w="420"/>
        <w:gridCol w:w="801"/>
        <w:gridCol w:w="975"/>
        <w:gridCol w:w="930"/>
        <w:gridCol w:w="4897"/>
        <w:gridCol w:w="434"/>
        <w:gridCol w:w="420"/>
        <w:gridCol w:w="720"/>
        <w:gridCol w:w="720"/>
        <w:gridCol w:w="990"/>
      </w:tblGrid>
      <w:tr>
        <w:tblPrEx>
          <w:tblCellMar>
            <w:top w:w="0" w:type="dxa"/>
            <w:left w:w="108" w:type="dxa"/>
            <w:bottom w:w="0" w:type="dxa"/>
            <w:right w:w="108" w:type="dxa"/>
          </w:tblCellMar>
        </w:tblPrEx>
        <w:trPr>
          <w:trHeight w:val="405" w:hRule="atLeast"/>
          <w:jc w:val="center"/>
        </w:trPr>
        <w:tc>
          <w:tcPr>
            <w:tcW w:w="11307" w:type="dxa"/>
            <w:gridSpan w:val="10"/>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安徽医科大学临床医学院实验楼、教学楼监控系统项目配置清单</w:t>
            </w:r>
          </w:p>
        </w:tc>
      </w:tr>
      <w:tr>
        <w:tblPrEx>
          <w:tblCellMar>
            <w:top w:w="0" w:type="dxa"/>
            <w:left w:w="108" w:type="dxa"/>
            <w:bottom w:w="0" w:type="dxa"/>
            <w:right w:w="108" w:type="dxa"/>
          </w:tblCellMar>
        </w:tblPrEx>
        <w:trPr>
          <w:trHeight w:val="4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w:t>
            </w: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建议参数（投标时需要改写为投标产品实际参数）</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tblPrEx>
          <w:tblCellMar>
            <w:top w:w="0" w:type="dxa"/>
            <w:left w:w="108" w:type="dxa"/>
            <w:bottom w:w="0" w:type="dxa"/>
            <w:right w:w="108" w:type="dxa"/>
          </w:tblCellMar>
        </w:tblPrEx>
        <w:trPr>
          <w:trHeight w:val="285" w:hRule="atLeast"/>
          <w:jc w:val="center"/>
        </w:trPr>
        <w:tc>
          <w:tcPr>
            <w:tcW w:w="11307" w:type="dxa"/>
            <w:gridSpan w:val="10"/>
            <w:tcBorders>
              <w:top w:val="single" w:color="000000" w:sz="4" w:space="0"/>
              <w:left w:val="single" w:color="000000" w:sz="4" w:space="0"/>
              <w:bottom w:val="single" w:color="000000" w:sz="4" w:space="0"/>
              <w:right w:val="single" w:color="000000" w:sz="4" w:space="0"/>
            </w:tcBorders>
            <w:shd w:val="clear" w:color="auto" w:fill="FFFF00"/>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前端设备</w:t>
            </w:r>
          </w:p>
        </w:tc>
      </w:tr>
      <w:tr>
        <w:tblPrEx>
          <w:tblCellMar>
            <w:top w:w="0" w:type="dxa"/>
            <w:left w:w="108" w:type="dxa"/>
            <w:bottom w:w="0" w:type="dxa"/>
            <w:right w:w="108" w:type="dxa"/>
          </w:tblCellMar>
        </w:tblPrEx>
        <w:trPr>
          <w:trHeight w:val="386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红外枪式摄像机</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具有200万像素星光级1/2.7”CMOS传感器。2. 需具有20路取流路数能力，以满足更多用户同时在线访问摄像机视频。3. 最低照度彩色：0.001lx，黑白:0.0001lx，灰度等级不小于11级。4  红外补光距离不小于110米。5. 需支持三码流技术，可同时浏览三路码流，主码流最高1920x1080@30fps，第三码流最大1920x1080@30fps，子码流704x480@30fps。6. 在1920x1080@25fps下，清晰度不小于1100TVL。7. 支持H.264、H.265、MJPEG视频编码格式，其中H.264支持Baseline/Main/HighProfile。8. 可开启或关闭智能后检索功能。9. 需具有电子防抖、ROI感兴趣区域、SVC可伸缩编码、自动增益、背光补偿、数字降噪、强光抑制、防红外过曝等功能。10. 摄像机能够在-45~70摄氏度，湿度小于93%环境下稳定工作。11. 不低于IP67防尘防水等级。12. 需支持DC12V供电，且在不小于DC12V±30%范围内变化时可以正常工作。13. 设备工作状态时，支持空气放电8kV，接触放电6kV，通讯端口支持6kV峰值电压。14. 同一静止场景相同图像质量下，设备在H.265编码方式时，开启智能编码功能和不开启智能编码相比，码率节约1/2。</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新宋体" w:hAnsi="新宋体" w:eastAsia="新宋体" w:cs="新宋体"/>
                <w:i w:val="0"/>
                <w:iCs w:val="0"/>
                <w:color w:val="000000"/>
                <w:sz w:val="20"/>
                <w:szCs w:val="20"/>
                <w:u w:val="none"/>
              </w:rPr>
            </w:pPr>
            <w:r>
              <w:rPr>
                <w:rFonts w:hint="eastAsia" w:ascii="新宋体" w:hAnsi="新宋体" w:eastAsia="新宋体" w:cs="新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180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红外半球摄像机</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具有400万像素 CMOS传感器。 2 内置1个麦克风。3  最低照度彩色：0.07 lx，黑白:0.007 lx，最大亮度鉴别等级（灰度等级）不小于11级。4  在2560x1440@ 25fps下，清晰度不小于1400TVL。5  支持H.264、H.265、MJPEG视频编码格式，其中H.264支持Baseline/Main/High Profile。6 红外补光距离不小于50米。7  信噪比不小于62dB。8  不低于IP67防尘防水等级。9  需支持DC12V供电，且在不小于DC12V±25%范围内变化时可以正常工作。</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新宋体" w:hAnsi="新宋体" w:eastAsia="新宋体" w:cs="新宋体"/>
                <w:i w:val="0"/>
                <w:iCs w:val="0"/>
                <w:color w:val="000000"/>
                <w:sz w:val="20"/>
                <w:szCs w:val="20"/>
                <w:u w:val="none"/>
              </w:rPr>
            </w:pPr>
            <w:r>
              <w:rPr>
                <w:rFonts w:hint="eastAsia" w:ascii="新宋体" w:hAnsi="新宋体" w:eastAsia="新宋体" w:cs="新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72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拾音器</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拾音器据声源5米距离声音采集清晰，能够有效监听70平方米范围。 2  需支持DC12V供电，且在不小于DC12V±25%范围内变化时可以正常工作。3  拾音器能够在-30~70摄氏度环境下稳定工作。</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新宋体" w:hAnsi="新宋体" w:eastAsia="新宋体" w:cs="新宋体"/>
                <w:i w:val="0"/>
                <w:iCs w:val="0"/>
                <w:color w:val="000000"/>
                <w:sz w:val="20"/>
                <w:szCs w:val="20"/>
                <w:u w:val="none"/>
              </w:rPr>
            </w:pPr>
            <w:r>
              <w:rPr>
                <w:rFonts w:hint="eastAsia" w:ascii="新宋体" w:hAnsi="新宋体" w:eastAsia="新宋体" w:cs="新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和摄像机同一品牌</w:t>
            </w:r>
          </w:p>
        </w:tc>
      </w:tr>
      <w:tr>
        <w:tblPrEx>
          <w:tblCellMar>
            <w:top w:w="0" w:type="dxa"/>
            <w:left w:w="108" w:type="dxa"/>
            <w:bottom w:w="0" w:type="dxa"/>
            <w:right w:w="108" w:type="dxa"/>
          </w:tblCellMar>
        </w:tblPrEx>
        <w:trPr>
          <w:trHeight w:val="4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半球吊顶支架</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吊装支架/白色/铝合金/可伸缩</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新宋体" w:hAnsi="新宋体" w:eastAsia="新宋体" w:cs="新宋体"/>
                <w:i w:val="0"/>
                <w:iCs w:val="0"/>
                <w:color w:val="000000"/>
                <w:sz w:val="20"/>
                <w:szCs w:val="20"/>
                <w:u w:val="none"/>
              </w:rPr>
            </w:pPr>
            <w:r>
              <w:rPr>
                <w:rFonts w:hint="eastAsia" w:ascii="新宋体" w:hAnsi="新宋体" w:eastAsia="新宋体" w:cs="新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4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枪机壁挂支架</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壁装支架/白色/铝合金</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新宋体" w:hAnsi="新宋体" w:eastAsia="新宋体" w:cs="新宋体"/>
                <w:i w:val="0"/>
                <w:iCs w:val="0"/>
                <w:color w:val="000000"/>
                <w:sz w:val="20"/>
                <w:szCs w:val="20"/>
                <w:u w:val="none"/>
              </w:rPr>
            </w:pPr>
            <w:r>
              <w:rPr>
                <w:rFonts w:hint="eastAsia" w:ascii="新宋体" w:hAnsi="新宋体" w:eastAsia="新宋体" w:cs="新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1307" w:type="dxa"/>
            <w:gridSpan w:val="10"/>
            <w:tcBorders>
              <w:top w:val="single" w:color="000000" w:sz="4" w:space="0"/>
              <w:left w:val="single" w:color="000000" w:sz="4" w:space="0"/>
              <w:bottom w:val="single" w:color="000000" w:sz="4" w:space="0"/>
              <w:right w:val="single" w:color="000000" w:sz="4" w:space="0"/>
            </w:tcBorders>
            <w:shd w:val="clear" w:color="auto" w:fill="FFFF00"/>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传输及辅材</w:t>
            </w:r>
          </w:p>
        </w:tc>
      </w:tr>
      <w:tr>
        <w:tblPrEx>
          <w:tblCellMar>
            <w:top w:w="0" w:type="dxa"/>
            <w:left w:w="108" w:type="dxa"/>
            <w:bottom w:w="0" w:type="dxa"/>
            <w:right w:w="108" w:type="dxa"/>
          </w:tblCellMar>
        </w:tblPrEx>
        <w:trPr>
          <w:trHeight w:val="72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一舟、爱普华顿、安普</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w:t>
            </w: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171个点位，含2#实验二期预留73个点位。</w:t>
            </w:r>
          </w:p>
        </w:tc>
      </w:tr>
      <w:tr>
        <w:tblPrEx>
          <w:tblCellMar>
            <w:top w:w="0" w:type="dxa"/>
            <w:left w:w="108" w:type="dxa"/>
            <w:bottom w:w="0" w:type="dxa"/>
            <w:right w:w="108" w:type="dxa"/>
          </w:tblCellMar>
        </w:tblPrEx>
        <w:trPr>
          <w:trHeight w:val="285"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绿宝</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RVVP3*0.75</w:t>
            </w: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RVVP3*0.75</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16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KBG管</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w:t>
            </w: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KBG20</w:t>
            </w:r>
          </w:p>
        </w:tc>
        <w:tc>
          <w:tcPr>
            <w:tcW w:w="4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1.明装方式：1#实验楼室内与走廊、教学楼走廊。2.暗敷方式：2#实验楼室内全部暗敷，含2#实验二期预留73个点位。</w:t>
            </w:r>
          </w:p>
        </w:tc>
      </w:tr>
      <w:tr>
        <w:tblPrEx>
          <w:tblCellMar>
            <w:top w:w="0" w:type="dxa"/>
            <w:left w:w="108" w:type="dxa"/>
            <w:bottom w:w="0" w:type="dxa"/>
            <w:right w:w="108" w:type="dxa"/>
          </w:tblCellMar>
        </w:tblPrEx>
        <w:trPr>
          <w:trHeight w:val="285"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PVC线槽</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Φ30</w:t>
            </w: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PVC30</w:t>
            </w:r>
          </w:p>
        </w:tc>
        <w:tc>
          <w:tcPr>
            <w:tcW w:w="43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室内明装</w:t>
            </w:r>
          </w:p>
        </w:tc>
      </w:tr>
      <w:tr>
        <w:tblPrEx>
          <w:tblCellMar>
            <w:top w:w="0" w:type="dxa"/>
            <w:left w:w="108" w:type="dxa"/>
            <w:bottom w:w="0" w:type="dxa"/>
            <w:right w:w="108" w:type="dxa"/>
          </w:tblCellMar>
        </w:tblPrEx>
        <w:trPr>
          <w:trHeight w:val="4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其他辅材</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吊筋、软管、铁皮卡、胶布、扎带、波纹管、膨胀螺丝等</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1307" w:type="dxa"/>
            <w:gridSpan w:val="10"/>
            <w:tcBorders>
              <w:top w:val="single" w:color="000000" w:sz="4" w:space="0"/>
              <w:left w:val="single" w:color="000000" w:sz="4" w:space="0"/>
              <w:bottom w:val="single" w:color="000000" w:sz="4" w:space="0"/>
              <w:right w:val="single" w:color="000000" w:sz="4" w:space="0"/>
            </w:tcBorders>
            <w:shd w:val="clear" w:color="auto" w:fill="FFFF00"/>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后端设备</w:t>
            </w:r>
          </w:p>
        </w:tc>
      </w:tr>
      <w:tr>
        <w:tblPrEx>
          <w:tblCellMar>
            <w:top w:w="0" w:type="dxa"/>
            <w:left w:w="108" w:type="dxa"/>
            <w:bottom w:w="0" w:type="dxa"/>
            <w:right w:w="108" w:type="dxa"/>
          </w:tblCellMar>
        </w:tblPrEx>
        <w:trPr>
          <w:trHeight w:val="819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硬盘录像机</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1.可接入128路分辨率为1920*1080的视频图像，总码率最大为1024Mbps;可存储128路分辨率为1920*1080的视频图像，总码率最大为1024Mbps；可转发128路分辨率为1920*1080的视频图像，总码率最大为1024Mbps 2.主板：具有2个HDMI接口、1个VGA接口，4个RJ45网络接口、1个eSATA接口、1个RS232接口、1路音频输入接口、1路音频输出接口、2个miniSAS扩展接口、16路报警输入接口、8路报警输出接口、1个键盘485接口、1个RS485接口、2个USB3.0接口。前面板：1个USB2.0接口，16个硬盘接口，可接入16块SATA接口硬盘。3.支持3-16台设备组成集群，集群支持1024台IPC接入；工作宕机时集群自动负载均衡，业务迁移 4.添加IPC、删除IPC、添加工作机、删除工作机、工作机宕机时集群内部根据工作机空闲通道、剩余带宽、剩余存储空间自动负载均衡，业务迁移；支持通过集群IP远程预览工作机、IP通道的实时视频，远程回放、下载工作机、IP通道的录像 5.支持设备级联，NVR接入NVR、DVR、XVR设备，选择通道添加 6.支持接入双目、三目、800w、1600w球型鹰眼、2400w环型鹰眼相机，3200w相机，并可将视频画面以多画面分割方式显示，可自定义画面布局 7.支持查看希捷硬盘健康状态信息，包括温度，震动，链路稳定性。并支持状态信息预警显示；支持查看最近7天（168小时）的硬盘状态详细信息 8.老化模式将硬盘划分为重要录像和普通录像两个存储区（可设置两个存储区的配额比例），系统可自动计算并显示重要录像和普通录像的保存期限；普通录像文件超过保存期限后，系统自动分析普通录像中含有人员目标、车辆目标或者报警触发的录像片断并将其迁移保存至重要录像区实现对重要录像片断的保存 9.缩略图浏览，在回放时间进度条上移动鼠标，可自动显示相应时间点前后9张缩略图 10.支持图表形式展示已添加的IP通道，支持自动抓拍一张图片作为IP通道封面 11.常规录像文件秒级检索：支持秒级检索查看硬盘中录像文件 12.重要录像片段秒级检索：支持秒级检索录像文件中的人员、车辆、人体等活动目标，并以弹窗形式来展示活动目标关联的录像片段 13.可根据机箱内温度调节机箱风扇转速，支持3级风扇转速 14.主板：可同时解码40路H.265编码、30fps、1920×1080格式的视频图像 15.可同时通过主控板卡2个HDMI接口分别将接入的分辨率为4096x2160的视频图像显示输出在2个分辨率为4096x2160的液晶显示器上 16.可设置图案密码，用户通过绘制图案来解锁并登录 17.支持10T硬盘接入，支持硬盘热插拔，可配置8个NAS网盘进行录像或者配置8个IPSAN磁盘阵列进行录像码流直存</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4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硬盘</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4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其他辅材</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4897"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吊筋、软管、铁皮卡、胶布、扎带、波纹管、膨胀螺丝等</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480"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平台对接服务费</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w:t>
            </w:r>
          </w:p>
        </w:tc>
        <w:tc>
          <w:tcPr>
            <w:tcW w:w="4897"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定制开发（蓝鸽校园巡视软件V5.0）</w:t>
            </w:r>
          </w:p>
        </w:tc>
        <w:tc>
          <w:tcPr>
            <w:tcW w:w="4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4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1+2+3</w:t>
            </w:r>
          </w:p>
        </w:tc>
        <w:tc>
          <w:tcPr>
            <w:tcW w:w="10086"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tblPrEx>
          <w:tblCellMar>
            <w:top w:w="0" w:type="dxa"/>
            <w:left w:w="108" w:type="dxa"/>
            <w:bottom w:w="0" w:type="dxa"/>
            <w:right w:w="108" w:type="dxa"/>
          </w:tblCellMar>
        </w:tblPrEx>
        <w:trPr>
          <w:trHeight w:val="285" w:hRule="atLeast"/>
          <w:jc w:val="center"/>
        </w:trPr>
        <w:tc>
          <w:tcPr>
            <w:tcW w:w="12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施工调试费用（171个点位）</w:t>
            </w:r>
          </w:p>
        </w:tc>
        <w:tc>
          <w:tcPr>
            <w:tcW w:w="10086"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tblPrEx>
          <w:tblCellMar>
            <w:top w:w="0" w:type="dxa"/>
            <w:left w:w="108" w:type="dxa"/>
            <w:bottom w:w="0" w:type="dxa"/>
            <w:right w:w="108" w:type="dxa"/>
          </w:tblCellMar>
        </w:tblPrEx>
        <w:trPr>
          <w:trHeight w:val="285" w:hRule="atLeast"/>
          <w:jc w:val="center"/>
        </w:trPr>
        <w:tc>
          <w:tcPr>
            <w:tcW w:w="12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税费</w:t>
            </w:r>
          </w:p>
        </w:tc>
        <w:tc>
          <w:tcPr>
            <w:tcW w:w="10086"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tblPrEx>
          <w:tblCellMar>
            <w:top w:w="0" w:type="dxa"/>
            <w:left w:w="108" w:type="dxa"/>
            <w:bottom w:w="0" w:type="dxa"/>
            <w:right w:w="108" w:type="dxa"/>
          </w:tblCellMar>
        </w:tblPrEx>
        <w:trPr>
          <w:trHeight w:val="285" w:hRule="atLeast"/>
          <w:jc w:val="center"/>
        </w:trPr>
        <w:tc>
          <w:tcPr>
            <w:tcW w:w="12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管理费、利润</w:t>
            </w:r>
          </w:p>
        </w:tc>
        <w:tc>
          <w:tcPr>
            <w:tcW w:w="10086"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新宋体" w:hAnsi="新宋体" w:eastAsia="新宋体" w:cs="新宋体"/>
                <w:i w:val="0"/>
                <w:iCs w:val="0"/>
                <w:color w:val="000000"/>
                <w:sz w:val="20"/>
                <w:szCs w:val="20"/>
                <w:u w:val="none"/>
              </w:rPr>
            </w:pPr>
            <w:r>
              <w:rPr>
                <w:rFonts w:hint="eastAsia" w:ascii="新宋体" w:hAnsi="新宋体" w:eastAsia="新宋体" w:cs="新宋体"/>
                <w:i w:val="0"/>
                <w:iCs w:val="0"/>
                <w:color w:val="000000"/>
                <w:kern w:val="0"/>
                <w:sz w:val="20"/>
                <w:szCs w:val="20"/>
                <w:u w:val="none"/>
                <w:lang w:val="en-US" w:eastAsia="zh-CN" w:bidi="ar"/>
              </w:rPr>
              <w:t xml:space="preserve">0.00 </w:t>
            </w:r>
          </w:p>
        </w:tc>
      </w:tr>
      <w:tr>
        <w:tblPrEx>
          <w:tblCellMar>
            <w:top w:w="0" w:type="dxa"/>
            <w:left w:w="108" w:type="dxa"/>
            <w:bottom w:w="0" w:type="dxa"/>
            <w:right w:w="108" w:type="dxa"/>
          </w:tblCellMar>
        </w:tblPrEx>
        <w:trPr>
          <w:trHeight w:val="285" w:hRule="atLeast"/>
          <w:jc w:val="center"/>
        </w:trPr>
        <w:tc>
          <w:tcPr>
            <w:tcW w:w="12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10086"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0.00 </w:t>
            </w:r>
          </w:p>
        </w:tc>
      </w:tr>
      <w:tr>
        <w:tblPrEx>
          <w:tblCellMar>
            <w:top w:w="0" w:type="dxa"/>
            <w:left w:w="108" w:type="dxa"/>
            <w:bottom w:w="0" w:type="dxa"/>
            <w:right w:w="108" w:type="dxa"/>
          </w:tblCellMar>
        </w:tblPrEx>
        <w:trPr>
          <w:trHeight w:val="2281" w:hRule="atLeast"/>
          <w:jc w:val="center"/>
        </w:trPr>
        <w:tc>
          <w:tcPr>
            <w:tcW w:w="11307" w:type="dxa"/>
            <w:gridSpan w:val="10"/>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FF0000"/>
                <w:kern w:val="0"/>
                <w:sz w:val="24"/>
                <w:szCs w:val="24"/>
                <w:u w:val="none"/>
                <w:lang w:val="en-US" w:eastAsia="zh-CN" w:bidi="ar"/>
              </w:rPr>
            </w:pPr>
            <w:r>
              <w:rPr>
                <w:rFonts w:hint="eastAsia" w:ascii="宋体" w:hAnsi="宋体" w:eastAsia="宋体" w:cs="宋体"/>
                <w:i w:val="0"/>
                <w:iCs w:val="0"/>
                <w:color w:val="FF0000"/>
                <w:kern w:val="0"/>
                <w:sz w:val="24"/>
                <w:szCs w:val="24"/>
                <w:u w:val="none"/>
                <w:lang w:val="en-US" w:eastAsia="zh-CN" w:bidi="ar"/>
              </w:rPr>
              <w:t>备注:                                                                                                                              1.监控施工单位提供SDK包，由教学软件公司负责监控设备与教学软件系统对接。                                                         2.教学楼与实验楼监控需与校园安防监控对接（接入原校园安防监控室大屏），费用包含在项目报价中（原校园安防监控品牌为海康威视）。                                                                                                                                  3.管线安装方式，因使用部门暂时确定不了方案，暂按照图纸标注，施工时按照使用部门具体要求进行。                                   4.建议参数栏：投标时，在技术标和商务标中，务必改写为投标产品自有的实际参数；在技术标中，务必在参数响应栏根据投标产品实际参数填写。</w:t>
            </w:r>
          </w:p>
        </w:tc>
      </w:tr>
    </w:tbl>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r>
        <w:rPr>
          <w:rFonts w:hint="eastAsia" w:ascii="宋体" w:hAnsi="宋体" w:cs="宋体"/>
          <w:b/>
          <w:bCs/>
          <w:sz w:val="36"/>
          <w:szCs w:val="36"/>
        </w:rPr>
        <w:t>附件</w:t>
      </w:r>
      <w:r>
        <w:rPr>
          <w:rFonts w:hint="eastAsia" w:ascii="宋体" w:hAnsi="宋体" w:cs="宋体"/>
          <w:b/>
          <w:bCs/>
          <w:sz w:val="36"/>
          <w:szCs w:val="36"/>
          <w:lang w:eastAsia="zh-CN"/>
        </w:rPr>
        <w:t>二</w:t>
      </w:r>
    </w:p>
    <w:p>
      <w:pPr>
        <w:spacing w:line="440" w:lineRule="exact"/>
        <w:rPr>
          <w:rFonts w:hint="eastAsia" w:ascii="宋体" w:hAnsi="宋体" w:cs="宋体"/>
          <w:b/>
          <w:bCs/>
          <w:sz w:val="36"/>
          <w:szCs w:val="36"/>
          <w:lang w:eastAsia="zh-CN"/>
        </w:rPr>
      </w:pPr>
    </w:p>
    <w:tbl>
      <w:tblPr>
        <w:tblStyle w:val="4"/>
        <w:tblW w:w="11245" w:type="dxa"/>
        <w:jc w:val="center"/>
        <w:tblLayout w:type="fixed"/>
        <w:tblCellMar>
          <w:top w:w="0" w:type="dxa"/>
          <w:left w:w="108" w:type="dxa"/>
          <w:bottom w:w="0" w:type="dxa"/>
          <w:right w:w="108" w:type="dxa"/>
        </w:tblCellMar>
      </w:tblPr>
      <w:tblGrid>
        <w:gridCol w:w="480"/>
        <w:gridCol w:w="870"/>
        <w:gridCol w:w="795"/>
        <w:gridCol w:w="899"/>
        <w:gridCol w:w="5115"/>
        <w:gridCol w:w="1319"/>
        <w:gridCol w:w="1767"/>
      </w:tblGrid>
      <w:tr>
        <w:tblPrEx>
          <w:tblCellMar>
            <w:top w:w="0" w:type="dxa"/>
            <w:left w:w="108" w:type="dxa"/>
            <w:bottom w:w="0" w:type="dxa"/>
            <w:right w:w="108" w:type="dxa"/>
          </w:tblCellMar>
        </w:tblPrEx>
        <w:trPr>
          <w:trHeight w:val="405" w:hRule="atLeast"/>
          <w:jc w:val="center"/>
        </w:trPr>
        <w:tc>
          <w:tcPr>
            <w:tcW w:w="11245" w:type="dxa"/>
            <w:gridSpan w:val="7"/>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安徽医科大学临床医学院实验楼、教学楼监控系统项目配置清单</w:t>
            </w:r>
          </w:p>
        </w:tc>
      </w:tr>
      <w:tr>
        <w:tblPrEx>
          <w:tblCellMar>
            <w:top w:w="0" w:type="dxa"/>
            <w:left w:w="108" w:type="dxa"/>
            <w:bottom w:w="0" w:type="dxa"/>
            <w:right w:w="108" w:type="dxa"/>
          </w:tblCellMar>
        </w:tblPrEx>
        <w:trPr>
          <w:trHeight w:val="285"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w:t>
            </w: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建议参数（投标时需要改写为投标产品实际参数）</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参数响应</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tblPrEx>
          <w:tblCellMar>
            <w:top w:w="0" w:type="dxa"/>
            <w:left w:w="108" w:type="dxa"/>
            <w:bottom w:w="0" w:type="dxa"/>
            <w:right w:w="108" w:type="dxa"/>
          </w:tblCellMar>
        </w:tblPrEx>
        <w:trPr>
          <w:trHeight w:val="285" w:hRule="atLeast"/>
          <w:jc w:val="center"/>
        </w:trPr>
        <w:tc>
          <w:tcPr>
            <w:tcW w:w="11245" w:type="dxa"/>
            <w:gridSpan w:val="7"/>
            <w:tcBorders>
              <w:top w:val="single" w:color="000000" w:sz="4" w:space="0"/>
              <w:left w:val="single" w:color="000000" w:sz="4" w:space="0"/>
              <w:bottom w:val="single" w:color="000000" w:sz="4" w:space="0"/>
              <w:right w:val="single" w:color="000000" w:sz="4" w:space="0"/>
            </w:tcBorders>
            <w:shd w:val="clear" w:color="auto" w:fill="FFFF00"/>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前端设备</w:t>
            </w:r>
          </w:p>
        </w:tc>
      </w:tr>
      <w:tr>
        <w:tblPrEx>
          <w:tblCellMar>
            <w:top w:w="0" w:type="dxa"/>
            <w:left w:w="108" w:type="dxa"/>
            <w:bottom w:w="0" w:type="dxa"/>
            <w:right w:w="108" w:type="dxa"/>
          </w:tblCellMar>
        </w:tblPrEx>
        <w:trPr>
          <w:trHeight w:val="456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红外枪式摄像机</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具有200万像素星光级1/2.7”CMOS传感器。2. 需具有20路取流路数能力，以满足更多用户同时在线访问摄像机视频。3. 最低照度彩色：0.001lx，黑白:0.0001lx，灰度等级不小于11级。4  红外补光距离不小于110米。5. 需支持三码流技术，可同时浏览三路码流，主码流最高1920x1080@30fps，第三码流最大1920x1080@30fps，子码流704x480@30fps。6. 在1920x1080@25fps下，清晰度不小于1100TVL。7. 支持H.264、H.265、MJPEG视频编码格式，其中H.264支持Baseline/Main/HighProfile。8. 可开启或关闭智能后检索功能。9. 需具有电子防抖、ROI感兴趣区域、SVC可伸缩编码、自动增益、背光补偿、数字降噪、强光抑制、防红外过曝等功能。10. 摄像机能够在-45~70摄氏度，湿度小于93%环境下稳定工作。11. 不低于IP67防尘防水等级。12. 需支持DC12V供电，且在不小于DC12V±30%范围内变化时可以正常工作。13. 设备工作状态时，支持空气放电8kV，接触放电6kV，通讯端口支持6kV峰值电压。14. 同一静止场景相同图像质量下，设备在H.265编码方式时，开启智能编码功能和不开启智能编码相比，码率节约1/2。</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16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红外半球摄像机</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具有400万像素 CMOS传感器。 2 内置1个麦克风。3  最低照度彩色：0.07 lx，黑白:0.007 lx，最大亮度鉴别等级（灰度等级）不小于11级。4  在2560x1440@ 25fps下，清晰度不小于1400TVL。5  支持H.264、H.265、MJPEG视频编码格式，其中H.264支持Baseline/Main/High Profile。6 红外补光距离不小于50米。7  信噪比不小于62dB。8  不低于IP67防尘防水等级。9  需支持DC12V供电，且在不小于DC12V±25%范围内变化时可以正常工作。</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96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拾音器</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拾音器据声源5米距离声音采集清晰，能够有效监听70平方米范围。 2  需支持DC12V供电，且在不小于DC12V±25%范围内变化时可以正常工作。3  拾音器能够在-30~70摄氏度环境下稳定工作。</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和摄像机同一品牌</w:t>
            </w:r>
          </w:p>
        </w:tc>
      </w:tr>
      <w:tr>
        <w:tblPrEx>
          <w:tblCellMar>
            <w:top w:w="0" w:type="dxa"/>
            <w:left w:w="108" w:type="dxa"/>
            <w:bottom w:w="0" w:type="dxa"/>
            <w:right w:w="108" w:type="dxa"/>
          </w:tblCellMar>
        </w:tblPrEx>
        <w:trPr>
          <w:trHeight w:val="48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半球吊顶支架</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吊装支架/白色/铝合金/可伸缩</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48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枪机壁挂支架</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壁装支架/白色/铝合金</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1245" w:type="dxa"/>
            <w:gridSpan w:val="7"/>
            <w:tcBorders>
              <w:top w:val="single" w:color="000000" w:sz="4" w:space="0"/>
              <w:left w:val="single" w:color="000000" w:sz="4" w:space="0"/>
              <w:bottom w:val="single" w:color="000000" w:sz="4" w:space="0"/>
              <w:right w:val="single" w:color="000000" w:sz="4" w:space="0"/>
            </w:tcBorders>
            <w:shd w:val="clear" w:color="auto" w:fill="FFFF00"/>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传输及辅材</w:t>
            </w:r>
          </w:p>
        </w:tc>
      </w:tr>
      <w:tr>
        <w:tblPrEx>
          <w:tblCellMar>
            <w:top w:w="0" w:type="dxa"/>
            <w:left w:w="108" w:type="dxa"/>
            <w:bottom w:w="0" w:type="dxa"/>
            <w:right w:w="108" w:type="dxa"/>
          </w:tblCellMar>
        </w:tblPrEx>
        <w:trPr>
          <w:trHeight w:val="48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一舟、爱普华顿、安普</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w:t>
            </w: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171个点位，含2#实验二期预留73个点位。</w:t>
            </w:r>
          </w:p>
        </w:tc>
      </w:tr>
      <w:tr>
        <w:tblPrEx>
          <w:tblCellMar>
            <w:top w:w="0" w:type="dxa"/>
            <w:left w:w="108" w:type="dxa"/>
            <w:bottom w:w="0" w:type="dxa"/>
            <w:right w:w="108" w:type="dxa"/>
          </w:tblCellMar>
        </w:tblPrEx>
        <w:trPr>
          <w:trHeight w:val="285"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绿宝</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RVVP3*0.75</w:t>
            </w: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RVVP3*0.75</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120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KBG管</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w:t>
            </w: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KBG20</w:t>
            </w:r>
          </w:p>
        </w:tc>
        <w:tc>
          <w:tcPr>
            <w:tcW w:w="131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18"/>
                <w:szCs w:val="18"/>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1.明装方式：1#实验楼室内与走廊、教学楼走廊。2.暗敷方式：2#实验楼室内全部暗敷，含2#实验二期预留73个点位。</w:t>
            </w:r>
          </w:p>
        </w:tc>
      </w:tr>
      <w:tr>
        <w:tblPrEx>
          <w:tblCellMar>
            <w:top w:w="0" w:type="dxa"/>
            <w:left w:w="108" w:type="dxa"/>
            <w:bottom w:w="0" w:type="dxa"/>
            <w:right w:w="108" w:type="dxa"/>
          </w:tblCellMar>
        </w:tblPrEx>
        <w:trPr>
          <w:trHeight w:val="285"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PVC线槽</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联塑</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Φ30</w:t>
            </w: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PVC30</w:t>
            </w:r>
          </w:p>
        </w:tc>
        <w:tc>
          <w:tcPr>
            <w:tcW w:w="131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18"/>
                <w:szCs w:val="18"/>
                <w:u w:val="none"/>
              </w:rPr>
            </w:pPr>
          </w:p>
        </w:tc>
        <w:tc>
          <w:tcPr>
            <w:tcW w:w="1767"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室内明装</w:t>
            </w:r>
          </w:p>
        </w:tc>
      </w:tr>
      <w:tr>
        <w:tblPrEx>
          <w:tblCellMar>
            <w:top w:w="0" w:type="dxa"/>
            <w:left w:w="108" w:type="dxa"/>
            <w:bottom w:w="0" w:type="dxa"/>
            <w:right w:w="108" w:type="dxa"/>
          </w:tblCellMar>
        </w:tblPrEx>
        <w:trPr>
          <w:trHeight w:val="285"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其他辅材</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吊筋、软管、铁皮卡、胶布、扎带、波纹管、膨胀螺丝等</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1245" w:type="dxa"/>
            <w:gridSpan w:val="7"/>
            <w:tcBorders>
              <w:top w:val="single" w:color="000000" w:sz="4" w:space="0"/>
              <w:left w:val="single" w:color="000000" w:sz="4" w:space="0"/>
              <w:bottom w:val="single" w:color="000000" w:sz="4" w:space="0"/>
              <w:right w:val="single" w:color="000000" w:sz="4" w:space="0"/>
            </w:tcBorders>
            <w:shd w:val="clear" w:color="auto" w:fill="FFFF00"/>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后端设备</w:t>
            </w:r>
          </w:p>
        </w:tc>
      </w:tr>
      <w:tr>
        <w:tblPrEx>
          <w:tblCellMar>
            <w:top w:w="0" w:type="dxa"/>
            <w:left w:w="108" w:type="dxa"/>
            <w:bottom w:w="0" w:type="dxa"/>
            <w:right w:w="108" w:type="dxa"/>
          </w:tblCellMar>
        </w:tblPrEx>
        <w:trPr>
          <w:trHeight w:val="5675"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硬盘录像机</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1.可接入128路分辨率为1920*1080的视频图像，总码率最大为1024Mbps;可存储128路分辨率为1920*1080的视频图像，总码率最大为1024Mbps；可转发128路分辨率为1920*1080的视频图像，总码率最大为1024Mbps 2.主板：具有2个HDMI接口、1个VGA接口，4个RJ45网络接口、1个eSATA接口、1个RS232接口、1路音频输入接口、1路音频输出接口、2个miniSAS扩展接口、16路报警输入接口、8路报警输出接口、1个键盘485接口、1个RS485接口、2个USB3.0接口。前面板：1个USB2.0接口，16个硬盘接口，可接入16块SATA接口硬盘。3.支持3-16台设备组成集群，集群支持1024台IPC接入；工作宕机时集群自动负载均衡，业务迁移 4.添加IPC、删除IPC、添加工作机、删除工作机、工作机宕机时集群内部根据工作机空闲通道、剩余带宽、剩余存储空间自动负载均衡，业务迁移；支持通过集群IP远程预览工作机、IP通道的实时视频，远程回放、下载工作机、IP通道的录像 5.支持设备级联，NVR接入NVR、DVR、XVR设备，选择通道添加 6.支持接入双目、三目、800w、1600w球型鹰眼、2400w环型鹰眼相机，3200w相机，并可将视频画面以多画面分割方式显示，可自定义画面布局 7.支持查看希捷硬盘健康状态信息，包括温度，震动，链路稳定性。并支持状态信息预警显示；支持查看最近7天（168小时）的硬盘状态详细信息 8.老化模式将硬盘划分为重要录像和普通录像两个存储区（可设置两个存储区的配额比例），系统可自动计算并显示重要录像和普通录像的保存期限；普通录像文件超过保存期限后，系统自动分析普通录像中含有人员目标、车辆目标或者报警触发的录像片断并将其迁移保存至重要录像区实现对重要录像片断的保存 9.缩略图浏览，在回放时间进度条上移动鼠标，可自动显示相应时间点前后9张缩略图 10.支持图表形式展示已添加的IP通道，支持自动抓拍一张图片作为IP通道封面 11.常规录像文件秒级检索：支持秒级检索查看硬盘中录像文件 12.重要录像片段秒级检索：支持秒级检索录像文件中的人员、车辆、人体等活动目标，并以弹窗形式来展示活动目标关联的录像片段 13.可根据机箱内温度调节机箱风扇转速，支持3级风扇转速 14.主板：可同时解码40路H.265编码、30fps、1920×1080格式的视频图像 15.可同时通过主控板卡2个HDMI接口分别将接入的分辨率为4096x2160的视频图像显示输出在2个分辨率为4096x2160的液晶显示器上 16.可设置图案密码，用户通过绘制图案来解锁并登录 17.支持10T硬盘接入，支持硬盘热插拔，可配置8个NAS网盘进行录像或者配置8个IPSAN磁盘阵列进行录像码流直存</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48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硬盘</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海康、大华、宇视</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6T</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其他辅材</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5115"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吊筋、软管、铁皮卡、胶布、扎带、波纹管、膨胀螺丝等</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480"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平台对接服务费</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w:t>
            </w:r>
          </w:p>
        </w:tc>
        <w:tc>
          <w:tcPr>
            <w:tcW w:w="5115"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定制开发（蓝鸽校园巡视软件V5.0）</w:t>
            </w:r>
          </w:p>
        </w:tc>
        <w:tc>
          <w:tcPr>
            <w:tcW w:w="13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1+2+3</w:t>
            </w:r>
          </w:p>
        </w:tc>
        <w:tc>
          <w:tcPr>
            <w:tcW w:w="9895"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3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施工调试费用（171个点位）</w:t>
            </w:r>
          </w:p>
        </w:tc>
        <w:tc>
          <w:tcPr>
            <w:tcW w:w="9895"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3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税费</w:t>
            </w:r>
          </w:p>
        </w:tc>
        <w:tc>
          <w:tcPr>
            <w:tcW w:w="9895"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3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管理费、利润</w:t>
            </w:r>
          </w:p>
        </w:tc>
        <w:tc>
          <w:tcPr>
            <w:tcW w:w="9895" w:type="dxa"/>
            <w:gridSpan w:val="5"/>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新宋体" w:hAnsi="新宋体" w:eastAsia="新宋体" w:cs="新宋体"/>
                <w:i w:val="0"/>
                <w:iCs w:val="0"/>
                <w:color w:val="000000"/>
                <w:sz w:val="20"/>
                <w:szCs w:val="20"/>
                <w:u w:val="none"/>
              </w:rPr>
            </w:pPr>
          </w:p>
        </w:tc>
      </w:tr>
      <w:tr>
        <w:tblPrEx>
          <w:tblCellMar>
            <w:top w:w="0" w:type="dxa"/>
            <w:left w:w="108" w:type="dxa"/>
            <w:bottom w:w="0" w:type="dxa"/>
            <w:right w:w="108" w:type="dxa"/>
          </w:tblCellMar>
        </w:tblPrEx>
        <w:trPr>
          <w:trHeight w:val="285" w:hRule="atLeast"/>
          <w:jc w:val="center"/>
        </w:trPr>
        <w:tc>
          <w:tcPr>
            <w:tcW w:w="13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9895" w:type="dxa"/>
            <w:gridSpan w:val="5"/>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285" w:hRule="atLeast"/>
          <w:jc w:val="center"/>
        </w:trPr>
        <w:tc>
          <w:tcPr>
            <w:tcW w:w="11245" w:type="dxa"/>
            <w:gridSpan w:val="7"/>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备注:                                                                                                                              1.监控施工单位提供SDK包，由教学软件公司负责监控设备与教学软件系统对接。                                                         2.教学楼与实验楼监控需与校园安防监控对接（接入原校园安防监控室大屏），费用包含在项目报价中（原校园安防监控品牌为海康威视）。                                                                                                                                  3.管线安装方式，因使用部门暂时确定不了方案，暂按照图纸标注，施工时按照使用部门具体要求进行。                                   4.建议参数栏：投标时，在商务标中，务必改写为投标产品自有的实际参数；在技术标中，务必在参数响应栏根据投标产品实际参数填写。</w:t>
            </w:r>
          </w:p>
        </w:tc>
      </w:tr>
    </w:tbl>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cs="宋体"/>
          <w:b/>
          <w:bCs/>
          <w:sz w:val="36"/>
          <w:szCs w:val="36"/>
          <w:lang w:eastAsia="zh-CN"/>
        </w:rPr>
      </w:pPr>
    </w:p>
    <w:p>
      <w:pPr>
        <w:spacing w:line="440" w:lineRule="exact"/>
        <w:rPr>
          <w:rFonts w:hint="eastAsia" w:ascii="宋体" w:hAnsi="宋体" w:eastAsia="宋体" w:cs="宋体"/>
          <w:b/>
          <w:bCs/>
          <w:sz w:val="36"/>
          <w:szCs w:val="36"/>
          <w:lang w:eastAsia="zh-CN"/>
        </w:rPr>
      </w:pPr>
      <w:r>
        <w:rPr>
          <w:rFonts w:hint="eastAsia" w:ascii="宋体" w:hAnsi="宋体" w:cs="宋体"/>
          <w:b/>
          <w:bCs/>
          <w:sz w:val="36"/>
          <w:szCs w:val="36"/>
        </w:rPr>
        <w:t>附件</w:t>
      </w:r>
      <w:r>
        <w:rPr>
          <w:rFonts w:hint="eastAsia" w:ascii="宋体" w:hAnsi="宋体" w:cs="宋体"/>
          <w:b/>
          <w:bCs/>
          <w:sz w:val="36"/>
          <w:szCs w:val="36"/>
          <w:lang w:eastAsia="zh-CN"/>
        </w:rPr>
        <w:t>三</w:t>
      </w:r>
    </w:p>
    <w:p>
      <w:pPr>
        <w:spacing w:line="360" w:lineRule="auto"/>
        <w:jc w:val="center"/>
        <w:rPr>
          <w:rFonts w:hint="eastAsia" w:ascii="黑体" w:hAnsi="黑体" w:eastAsia="黑体" w:cs="黑体"/>
          <w:b/>
          <w:color w:val="000000"/>
          <w:kern w:val="0"/>
          <w:sz w:val="36"/>
          <w:szCs w:val="36"/>
          <w:shd w:val="clear" w:color="auto" w:fill="FFFFFF"/>
        </w:rPr>
      </w:pPr>
      <w:r>
        <w:rPr>
          <w:rFonts w:hint="eastAsia" w:ascii="黑体" w:hAnsi="黑体" w:eastAsia="黑体" w:cs="黑体"/>
          <w:b/>
          <w:color w:val="000000"/>
          <w:kern w:val="0"/>
          <w:sz w:val="36"/>
          <w:szCs w:val="36"/>
          <w:shd w:val="clear" w:color="auto" w:fill="FFFFFF"/>
        </w:rPr>
        <w:t>廉 政 承 诺 书</w:t>
      </w:r>
    </w:p>
    <w:p>
      <w:pPr>
        <w:spacing w:line="360" w:lineRule="auto"/>
        <w:rPr>
          <w:rFonts w:hint="eastAsia" w:ascii="宋体" w:hAnsi="宋体" w:eastAsia="宋体" w:cs="宋体"/>
          <w:kern w:val="0"/>
          <w:sz w:val="24"/>
          <w:lang w:eastAsia="zh-CN"/>
        </w:rPr>
      </w:pPr>
      <w:r>
        <w:rPr>
          <w:rFonts w:hint="eastAsia" w:ascii="宋体" w:hAnsi="宋体" w:cs="宋体"/>
          <w:kern w:val="0"/>
          <w:sz w:val="24"/>
        </w:rPr>
        <w:t>甲方：</w:t>
      </w:r>
      <w:r>
        <w:rPr>
          <w:rFonts w:hint="eastAsia" w:ascii="宋体" w:hAnsi="宋体" w:cs="宋体"/>
          <w:kern w:val="0"/>
          <w:sz w:val="24"/>
          <w:lang w:eastAsia="zh-CN"/>
        </w:rPr>
        <w:t>安徽医科大学临床医学院</w:t>
      </w:r>
    </w:p>
    <w:p>
      <w:pPr>
        <w:spacing w:line="360" w:lineRule="auto"/>
        <w:rPr>
          <w:rFonts w:hint="eastAsia" w:ascii="宋体" w:hAnsi="宋体" w:cs="宋体"/>
          <w:kern w:val="0"/>
          <w:sz w:val="24"/>
        </w:rPr>
      </w:pPr>
      <w:r>
        <w:rPr>
          <w:rFonts w:hint="eastAsia" w:ascii="宋体" w:hAnsi="宋体" w:cs="宋体"/>
          <w:kern w:val="0"/>
          <w:sz w:val="24"/>
        </w:rPr>
        <w:t>乙方：</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为加强甲乙双方合作及廉政建设，规范甲乙双方各项合作行为，预防发生各种谋取不正当利益的违法违纪行为，保护双方合法权益，根据国家有关法律法规和新华投资集团相关文件规定，特订立本廉政承诺书。</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第一条 甲乙双方共同承诺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（一）严格遵守国家关于市场准入、项目招标投标、工程建设、施工安装、物资采购和市场活动等有关法律、法规和相关政策，以及廉政建设的各项规定。</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（二）严格执行合同文件，自觉按合同办事。</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（三）坚持公开、公平、公正的原则，不为获取不正当利益而损害对方利益。</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（四）保守对方的商业秘密，不将其用于交易以外的目的。</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第二条 甲方承诺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在交易的事前、事中、事后遵守以下（包括但不限于）事项： </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（一）不参加乙方或相关单位的宴请。</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（二）不私自收受乙方或相关单位的礼品、礼券或以“低价付款”的物品。</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（三）不接受乙方或相关单位的礼金、贿赂、帐外回扣等任何形式的私下经济利益。</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（四）不私自接受乙方或相关单位提供的娱乐、游玩或任何考察形式的变相旅游等活动。</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（六）不得有其他任何在乙方等相关单位获取不当利益的行为。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第三条 乙方承诺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在交易的事前、事中、事后遵守以下（包括但不限于）事项：</w:t>
      </w:r>
    </w:p>
    <w:p>
      <w:pPr>
        <w:spacing w:line="360" w:lineRule="auto"/>
        <w:ind w:firstLine="360" w:firstLineChars="150"/>
        <w:rPr>
          <w:rFonts w:hint="eastAsia" w:ascii="宋体" w:hAnsi="宋体" w:cs="宋体"/>
          <w:kern w:val="0"/>
          <w:sz w:val="24"/>
        </w:rPr>
      </w:pPr>
      <w:r>
        <w:rPr>
          <w:rFonts w:hint="eastAsia" w:ascii="宋体" w:hAnsi="宋体" w:cs="宋体"/>
          <w:kern w:val="0"/>
          <w:sz w:val="24"/>
        </w:rPr>
        <w:t>（一）与甲方保持正常的业务交往，严格执行合同约定。</w:t>
      </w:r>
    </w:p>
    <w:p>
      <w:pPr>
        <w:spacing w:line="360" w:lineRule="auto"/>
        <w:ind w:firstLine="360" w:firstLineChars="150"/>
        <w:rPr>
          <w:rFonts w:hint="eastAsia" w:ascii="宋体" w:hAnsi="宋体" w:cs="宋体"/>
          <w:kern w:val="0"/>
          <w:sz w:val="24"/>
        </w:rPr>
      </w:pPr>
      <w:r>
        <w:rPr>
          <w:rFonts w:hint="eastAsia" w:ascii="宋体" w:hAnsi="宋体" w:cs="宋体"/>
          <w:kern w:val="0"/>
          <w:sz w:val="24"/>
        </w:rPr>
        <w:t>（二）不向甲方工作人员及任何与甲方相关联的单位或个人提供宴请、旅游、健身、娱乐、变相考察等活动。</w:t>
      </w:r>
    </w:p>
    <w:p>
      <w:pPr>
        <w:spacing w:line="360" w:lineRule="auto"/>
        <w:ind w:firstLine="360" w:firstLineChars="150"/>
        <w:rPr>
          <w:rFonts w:hint="eastAsia" w:ascii="宋体" w:hAnsi="宋体" w:cs="宋体"/>
          <w:kern w:val="0"/>
          <w:sz w:val="24"/>
        </w:rPr>
      </w:pPr>
      <w:r>
        <w:rPr>
          <w:rFonts w:hint="eastAsia" w:ascii="宋体" w:hAnsi="宋体" w:cs="宋体"/>
          <w:kern w:val="0"/>
          <w:sz w:val="24"/>
        </w:rPr>
        <w:t>（三）不私自向甲方、相关单位及其工作人员赠送礼品、现金、有价卡券等。</w:t>
      </w:r>
    </w:p>
    <w:p>
      <w:pPr>
        <w:spacing w:line="360" w:lineRule="auto"/>
        <w:ind w:firstLine="360" w:firstLineChars="150"/>
        <w:rPr>
          <w:rFonts w:hint="eastAsia" w:ascii="宋体" w:hAnsi="宋体" w:cs="宋体"/>
          <w:kern w:val="0"/>
          <w:sz w:val="24"/>
        </w:rPr>
      </w:pPr>
      <w:r>
        <w:rPr>
          <w:rFonts w:hint="eastAsia" w:ascii="宋体" w:hAnsi="宋体" w:cs="宋体"/>
          <w:kern w:val="0"/>
          <w:sz w:val="24"/>
        </w:rPr>
        <w:t>（四）不在帐外给予甲方、相关单位及其工作人员回扣；不假借促销费、宣传费、赞助费、科研费、劳务费、咨询费、好处费、感谢费、佣金等名义，或者以报销各种费用等方式，给付甲方、相关单位及其工作人员财物（利益）。</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（五）及时向甲方通报甲方人员违反本承诺书规定的行为。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第四条 违约责任</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（一）甲方工作人员违反本承诺书第一条、第二条的，严格按甲方相关公司制度处理和有关法律法规处理;涉嫌犯罪的，移交司法机关处理；给乙方造成经济损失的，责任人应予以赔偿。</w:t>
      </w:r>
    </w:p>
    <w:p>
      <w:pPr>
        <w:spacing w:line="360" w:lineRule="auto"/>
        <w:ind w:firstLine="480" w:firstLineChars="200"/>
        <w:rPr>
          <w:rFonts w:hint="eastAsia" w:ascii="宋体" w:hAnsi="宋体" w:cs="宋体"/>
          <w:kern w:val="0"/>
          <w:sz w:val="24"/>
        </w:rPr>
      </w:pPr>
      <w:r>
        <w:rPr>
          <w:rFonts w:hint="eastAsia" w:ascii="宋体" w:hAnsi="宋体" w:cs="宋体"/>
          <w:kern w:val="0"/>
          <w:sz w:val="24"/>
        </w:rPr>
        <w:t>（二）乙方工作人员违反本承诺书第一条、第三条的，按乙方相关制度和有关法律法规处理，甲方有权终止合同;涉嫌犯罪的，移交司法机关处理；给甲方造成经济损失的，乙方承担赔偿责任。</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第五条 本承诺书作为交易合同或协议的附件，与交易合同或协议具有同等法律效力。经双方签署后立即生效。</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第六条 乙方在履行合同或协议过程中，若发现甲方的相关人员有违反《廉政承诺书》所规定的行为，可以直接向甲方审计督查部投诉（电话：15005518562）。</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第七条 本承诺书一式四份，甲乙双方各持两份。</w:t>
      </w:r>
    </w:p>
    <w:p>
      <w:pPr>
        <w:spacing w:line="360" w:lineRule="auto"/>
        <w:rPr>
          <w:rFonts w:hint="eastAsia" w:ascii="宋体" w:hAnsi="宋体" w:cs="宋体"/>
          <w:kern w:val="0"/>
          <w:sz w:val="24"/>
        </w:rPr>
      </w:pPr>
    </w:p>
    <w:p>
      <w:pPr>
        <w:spacing w:line="360" w:lineRule="auto"/>
        <w:rPr>
          <w:rFonts w:hint="eastAsia" w:ascii="宋体" w:hAnsi="宋体" w:cs="宋体"/>
          <w:kern w:val="0"/>
          <w:sz w:val="24"/>
        </w:rPr>
      </w:pPr>
    </w:p>
    <w:p>
      <w:pPr>
        <w:spacing w:line="360" w:lineRule="auto"/>
        <w:rPr>
          <w:rFonts w:hint="eastAsia" w:ascii="宋体" w:hAnsi="宋体" w:cs="宋体"/>
          <w:kern w:val="0"/>
          <w:sz w:val="24"/>
        </w:rPr>
      </w:pPr>
    </w:p>
    <w:p>
      <w:pPr>
        <w:spacing w:line="360" w:lineRule="auto"/>
        <w:ind w:firstLine="480" w:firstLineChars="200"/>
        <w:rPr>
          <w:rFonts w:hint="eastAsia" w:ascii="宋体" w:hAnsi="宋体" w:cs="宋体"/>
          <w:kern w:val="0"/>
          <w:sz w:val="24"/>
        </w:rPr>
      </w:pPr>
      <w:r>
        <w:rPr>
          <w:rFonts w:hint="eastAsia" w:ascii="宋体" w:hAnsi="宋体" w:cs="宋体"/>
          <w:kern w:val="0"/>
          <w:sz w:val="24"/>
        </w:rPr>
        <w:t>甲方单位：（盖章）                   乙方单位：（盖章）</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法定代表人：                         法定代表人：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法定代表人联系电话：                 法定代表人联系电话：</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委托代理人：                         委托代理人：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项目负责人：                         项目负责人：</w:t>
      </w:r>
    </w:p>
    <w:p>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监督电话：15005518562                监督电话：         </w:t>
      </w:r>
    </w:p>
    <w:p>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          15105517727               </w:t>
      </w:r>
    </w:p>
    <w:p>
      <w:pPr>
        <w:spacing w:line="360" w:lineRule="auto"/>
        <w:ind w:firstLine="480" w:firstLineChars="200"/>
        <w:rPr>
          <w:rFonts w:hint="eastAsia" w:ascii="宋体" w:hAnsi="宋体" w:cs="宋体"/>
          <w:kern w:val="0"/>
          <w:sz w:val="24"/>
        </w:rPr>
      </w:pPr>
      <w:r>
        <w:rPr>
          <w:rFonts w:hint="eastAsia" w:ascii="宋体" w:hAnsi="宋体" w:cs="宋体"/>
          <w:kern w:val="0"/>
          <w:sz w:val="24"/>
        </w:rPr>
        <w:t>监督邮箱：xhjtdc@xhgroup.cn          监督邮箱：</w:t>
      </w:r>
    </w:p>
    <w:p>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          xh@xhgroup.cn          </w:t>
      </w:r>
    </w:p>
    <w:p>
      <w:pPr>
        <w:spacing w:line="440" w:lineRule="exact"/>
        <w:rPr>
          <w:rFonts w:hint="eastAsia" w:ascii="宋体" w:hAnsi="宋体" w:cs="宋体"/>
          <w:kern w:val="0"/>
          <w:sz w:val="24"/>
        </w:rPr>
      </w:pPr>
    </w:p>
    <w:p>
      <w:bookmarkStart w:id="0" w:name="_GoBack"/>
      <w:bookmarkEnd w:id="0"/>
    </w:p>
    <w:sectPr>
      <w:headerReference r:id="rId3" w:type="default"/>
      <w:footerReference r:id="rId4" w:type="default"/>
      <w:footerReference r:id="rId5" w:type="even"/>
      <w:pgSz w:w="11906" w:h="16838"/>
      <w:pgMar w:top="890" w:right="1174" w:bottom="890" w:left="117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jc w:val="righ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fldChar w:fldCharType="begin"/>
    </w:r>
    <w:r>
      <w:rPr>
        <w:rStyle w:val="6"/>
      </w:rPr>
      <w:instrText xml:space="preserve">PAGE  </w:instrText>
    </w:r>
    <w:r>
      <w:fldChar w:fldCharType="separate"/>
    </w:r>
    <w:r>
      <w:rPr>
        <w:rStyle w:val="6"/>
      </w:rPr>
      <w:t>4</w:t>
    </w:r>
    <w: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632DE0"/>
    <w:rsid w:val="7D632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2021-06-09T07:45:00Z</dcterms:created>
  <dc:creator>心若向阳</dc:creator>
  <cp:lastModifiedBy>心若向阳</cp:lastModifiedBy>
  <dcterms:modified xsi:type="dcterms:W3CDTF">2021-06-09T07:45:54Z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04F07ADDCA544816A62E88A5384CE199</vt:lpwstr>
  </property>
</Properties>
</file>