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618BD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ind w:left="0" w:leftChars="0" w:firstLine="0" w:firstLine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附件一</w:t>
      </w:r>
    </w:p>
    <w:p w14:paraId="1A9A26E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40" w:lineRule="exact"/>
        <w:ind w:left="0" w:right="0"/>
        <w:jc w:val="center"/>
        <w:rPr>
          <w:rFonts w:hint="eastAsia" w:ascii="仿宋" w:hAnsi="仿宋" w:eastAsia="仿宋" w:cs="仿宋"/>
          <w:b/>
          <w:bCs w:val="0"/>
          <w:kern w:val="0"/>
          <w:sz w:val="36"/>
          <w:szCs w:val="36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b/>
          <w:bCs w:val="0"/>
          <w:snapToGrid w:val="0"/>
          <w:kern w:val="0"/>
          <w:sz w:val="36"/>
          <w:szCs w:val="36"/>
          <w:shd w:val="clear" w:color="auto" w:fill="FFFFFF"/>
          <w:lang w:val="en-US" w:eastAsia="zh-CN" w:bidi="ar"/>
        </w:rPr>
        <w:t>廉政承诺书</w:t>
      </w:r>
    </w:p>
    <w:p w14:paraId="00504CE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/>
        <w:jc w:val="both"/>
        <w:rPr>
          <w:rFonts w:hint="default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甲方：安徽医科大学临床医学院</w:t>
      </w:r>
    </w:p>
    <w:p w14:paraId="01B6616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乙方：</w:t>
      </w:r>
    </w:p>
    <w:p w14:paraId="4E91D29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为加强甲乙双方合作及廉政建设，规范甲乙双方各项合作行为，预防发生各种谋取不正当利益的违法违纪行为，保护双方合法权益，根据国家有关法律法规和新华集团相关文件规定，特订立本廉政承诺书。</w:t>
      </w:r>
    </w:p>
    <w:p w14:paraId="5631E20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第一条 甲乙双方共同承诺</w:t>
      </w:r>
    </w:p>
    <w:p w14:paraId="520E805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（一）严格遵守国家关于市场准入、项目招标投标、工程建设、施工安装、物资采购和市场活动等有关法律、法规和相关政策，以及廉政建设的各项规定。</w:t>
      </w:r>
    </w:p>
    <w:p w14:paraId="37B947D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（二）严格执行合同文件，自觉按合同办事。</w:t>
      </w:r>
    </w:p>
    <w:p w14:paraId="7948124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（三）坚持公开、公平、公正的原则，不为获取不正当利益而损害对方利益。</w:t>
      </w:r>
    </w:p>
    <w:p w14:paraId="5C3B31D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（四）保守对方的商业秘密，不将其用于交易以外的目的。</w:t>
      </w:r>
    </w:p>
    <w:p w14:paraId="5470F8F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第二条 甲方承诺</w:t>
      </w:r>
    </w:p>
    <w:p w14:paraId="5E045C8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 xml:space="preserve">在交易的事前、事中、事后遵守以下（包括但不限于）事项： </w:t>
      </w:r>
    </w:p>
    <w:p w14:paraId="6A26E5F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（一）不参加乙方或相关单位的宴请。</w:t>
      </w:r>
    </w:p>
    <w:p w14:paraId="19DF466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（二）不私自收受乙方或相关单位的礼品、礼券或以“低价付款”的物品。</w:t>
      </w:r>
    </w:p>
    <w:p w14:paraId="0CF137E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（三）不接受乙方或相关单位的礼金、贿赂、账外回扣等任何形式的私下经济利益。</w:t>
      </w:r>
    </w:p>
    <w:p w14:paraId="2D411E3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（四）不私自接受乙方或相关单位提供的娱乐、游玩或任何考察形式的变相旅游等活动。</w:t>
      </w:r>
    </w:p>
    <w:p w14:paraId="086264B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五）不利用职务之便谋取非法利益；不向乙方或相关单位介绍配偶、子女及其他亲属参与同交易有关的经济活动；不以任何理由向乙方或相关单位推荐分包单位、供货商，或要求乙方购买交易合同规定以外的材料、设备等。</w:t>
      </w:r>
    </w:p>
    <w:p w14:paraId="0225C69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（六）不得有其他任何在乙方等相关单位获取不当利益的行为。</w:t>
      </w:r>
    </w:p>
    <w:p w14:paraId="05AE3F1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第三条 乙方承诺</w:t>
      </w:r>
    </w:p>
    <w:p w14:paraId="70ABC21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在交易的事前、事中、事后遵守以下（包括但不限于）事项：</w:t>
      </w:r>
    </w:p>
    <w:p w14:paraId="069E240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360" w:firstLineChars="15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（一）与甲方保持正常的业务交往，严格执行合同约定。</w:t>
      </w:r>
    </w:p>
    <w:p w14:paraId="65C220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360" w:firstLineChars="15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（二）不向甲方工作人员及任何与甲方相关联的单位或个人提供宴请、旅游、健身、娱乐、变相考察等活动。</w:t>
      </w:r>
    </w:p>
    <w:p w14:paraId="5AD5D7E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360" w:firstLineChars="15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（三）不私自向甲方、相关单位及其工作人员赠送礼品、现金、有价卡券等。</w:t>
      </w:r>
    </w:p>
    <w:p w14:paraId="7414975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360" w:firstLineChars="15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四）不在账外给予甲方、相关单位及其工作人员回扣；不假借促销费、宣传费、赞助费、科研费、劳务费、咨询费、好处费、感谢费、佣金等名义，或者以报销各种费用等方式，给付甲方、相关单位及其工作人员财物（利益）。</w:t>
      </w:r>
    </w:p>
    <w:p w14:paraId="25F50E5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（五）及时向甲方通报甲方人员违反本承诺书规定的行为。</w:t>
      </w:r>
    </w:p>
    <w:p w14:paraId="03DDA74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第四条 违约责任</w:t>
      </w:r>
    </w:p>
    <w:p w14:paraId="0027FA3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（一）甲方工作人员违反本承诺书第一条、第二条的，严格按甲方相关公司制度处理和有关法律法规处理;涉嫌犯罪的，移交司法机关处理；给乙方造成经济损失的，责任人应予以赔偿。</w:t>
      </w:r>
    </w:p>
    <w:p w14:paraId="6FE9F28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（二）乙方工作人员违反本承诺书第一条、第三条的，按乙方相关制度和有关法律法规处理，甲方有权终止合同;涉嫌犯罪的，移交司法机关处理；给甲方造成经济损失的，乙方承担赔偿责任。</w:t>
      </w:r>
    </w:p>
    <w:p w14:paraId="51E973F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第五条 本承诺书作为交易合同或协议的附件，与交易合同或协议具有同等法律效力。经双方签署后立即生效。</w:t>
      </w:r>
    </w:p>
    <w:p w14:paraId="3A50CEE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第六条 乙方在履行合同或协议过程中，若发现甲方的相关人员有违反《廉政承诺书》所规定的行为，可以直接向甲方审计督查部投诉（电话：15005518562）。</w:t>
      </w:r>
    </w:p>
    <w:p w14:paraId="7668EAD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第七条 本承诺书一式四份，甲乙双方各持两份。</w:t>
      </w:r>
    </w:p>
    <w:p w14:paraId="20ACFF6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/>
        <w:jc w:val="both"/>
        <w:rPr>
          <w:rFonts w:hint="eastAsia" w:ascii="仿宋" w:hAnsi="仿宋" w:eastAsia="仿宋" w:cs="仿宋"/>
          <w:sz w:val="24"/>
          <w:szCs w:val="24"/>
          <w:lang w:val="en-US"/>
        </w:rPr>
      </w:pPr>
    </w:p>
    <w:p w14:paraId="7B662AB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/>
        <w:jc w:val="both"/>
        <w:rPr>
          <w:rFonts w:hint="eastAsia" w:ascii="仿宋" w:hAnsi="仿宋" w:eastAsia="仿宋" w:cs="仿宋"/>
          <w:sz w:val="24"/>
          <w:szCs w:val="24"/>
          <w:lang w:val="en-US"/>
        </w:rPr>
      </w:pPr>
    </w:p>
    <w:p w14:paraId="5BB8EAE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/>
        <w:jc w:val="both"/>
        <w:rPr>
          <w:rFonts w:hint="eastAsia" w:ascii="仿宋" w:hAnsi="仿宋" w:eastAsia="仿宋" w:cs="仿宋"/>
          <w:sz w:val="24"/>
          <w:szCs w:val="24"/>
          <w:lang w:val="en-US"/>
        </w:rPr>
      </w:pPr>
    </w:p>
    <w:p w14:paraId="11177E2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甲方单位：（盖章）                   乙方单位：（盖章）</w:t>
      </w:r>
    </w:p>
    <w:p w14:paraId="5AC981A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法定代表人：                         法定代表人：</w:t>
      </w:r>
    </w:p>
    <w:p w14:paraId="1796C36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法定代表人联系电话：                 法定代表人联系电话：</w:t>
      </w:r>
    </w:p>
    <w:p w14:paraId="5D17F64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委托代理人：                         委托代理人：</w:t>
      </w:r>
    </w:p>
    <w:p w14:paraId="1E6FC13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项目负责人：                         项目负责人：</w:t>
      </w:r>
    </w:p>
    <w:p w14:paraId="15B1248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 xml:space="preserve">监督电话：15005518562                监督电话：                                </w:t>
      </w:r>
    </w:p>
    <w:p w14:paraId="7908642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监督邮箱：xhjtdc@xinhuaedu.com       监督邮箱：</w:t>
      </w:r>
    </w:p>
    <w:p w14:paraId="48A36F2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 xml:space="preserve">          jtdsz@xinhuaedu.com 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  <w:t xml:space="preserve">       </w:t>
      </w:r>
    </w:p>
    <w:p w14:paraId="39D1282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40" w:lineRule="exact"/>
        <w:ind w:left="0" w:right="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/>
        </w:rPr>
      </w:pPr>
    </w:p>
    <w:p w14:paraId="55B3140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40" w:lineRule="exact"/>
        <w:ind w:left="0" w:right="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/>
        </w:rPr>
      </w:pPr>
    </w:p>
    <w:p w14:paraId="13E0109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4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 w14:paraId="1B22AE9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4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 w14:paraId="1E5AB48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4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  <w:t>附件二</w:t>
      </w:r>
    </w:p>
    <w:p w14:paraId="2F6BBA4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40" w:lineRule="exact"/>
        <w:ind w:left="0" w:right="0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保证承诺书</w:t>
      </w:r>
    </w:p>
    <w:p w14:paraId="62F458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440" w:lineRule="exact"/>
        <w:ind w:left="0" w:right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"/>
        </w:rPr>
        <w:t>致</w:t>
      </w:r>
      <w:r>
        <w:rPr>
          <w:rFonts w:hint="eastAsia" w:ascii="仿宋" w:hAnsi="仿宋" w:eastAsia="仿宋" w:cs="仿宋"/>
          <w:b/>
          <w:bCs/>
          <w:kern w:val="2"/>
          <w:sz w:val="28"/>
          <w:szCs w:val="28"/>
          <w:u w:val="single"/>
          <w:lang w:val="en-US" w:eastAsia="zh-CN" w:bidi="ar"/>
        </w:rPr>
        <w:t>安徽医科大学临床医学院</w:t>
      </w: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"/>
        </w:rPr>
        <w:t>：</w:t>
      </w:r>
    </w:p>
    <w:p w14:paraId="0AF4B5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0" w:firstLineChars="200"/>
        <w:jc w:val="both"/>
        <w:textAlignment w:val="auto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 xml:space="preserve"> 保证人***，身份证号码***，系***公司法定代表人/项目负责人。现保证人针对***公司与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u w:val="single"/>
          <w:lang w:val="en-US" w:eastAsia="zh-CN" w:bidi="ar"/>
        </w:rPr>
        <w:t>安徽医科大学临床医学院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就***项目合作并签订《***合同》（下称主合同）事宜，为确保***公司全面履行其在主合同中的各项责任与义务，保证人自愿为其向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u w:val="single"/>
          <w:lang w:val="en-US" w:eastAsia="zh-CN" w:bidi="ar"/>
        </w:rPr>
        <w:t>安徽医科大学临床医学院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提供不可撤销的连带保证责任担保，并向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u w:val="single"/>
          <w:lang w:val="en-US" w:eastAsia="zh-CN" w:bidi="ar"/>
        </w:rPr>
        <w:t>安徽医科大学临床医学院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郑重承诺：</w:t>
      </w:r>
    </w:p>
    <w:p w14:paraId="7456FFA5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2" w:firstLineChars="200"/>
        <w:jc w:val="both"/>
        <w:textAlignment w:val="auto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"/>
        </w:rPr>
        <w:t>保证范围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。保证人的保证范围，为主合同项下***公司对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u w:val="single"/>
          <w:lang w:val="en-US" w:eastAsia="zh-CN" w:bidi="ar"/>
        </w:rPr>
        <w:t>安徽医科大学临床医学院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应承担的全部责任、义务、债务等，以及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u w:val="single"/>
          <w:lang w:val="en-US" w:eastAsia="zh-CN" w:bidi="ar"/>
        </w:rPr>
        <w:t>安徽医科大学临床医学院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为实现债权而支付的各项费用（包括但不限于诉讼费/仲裁费、财产保全费、财产保全服务费、律师费、差旅费、公证费、执行费、公告费等费用）。</w:t>
      </w:r>
    </w:p>
    <w:p w14:paraId="75D125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2" w:firstLineChars="200"/>
        <w:jc w:val="both"/>
        <w:textAlignment w:val="auto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"/>
        </w:rPr>
        <w:t xml:space="preserve"> 二、保证期间。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保证人的保证期间，为***公司在主合同项下债务履行期限届满后三年；若主合同项下的债务约定分期履行的，则保证期间至***公司在主合同项下最后一期债务履行期限届满后三年。</w:t>
      </w:r>
    </w:p>
    <w:p w14:paraId="56C68E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2" w:firstLineChars="200"/>
        <w:jc w:val="both"/>
        <w:textAlignment w:val="auto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"/>
        </w:rPr>
        <w:t>三、保证方式。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保证人承担独立的、不可撤销的、连带责任保证担保。任何情况下，不因主合同无效、撤销等等而影响本承诺书的效力。</w:t>
      </w:r>
    </w:p>
    <w:p w14:paraId="485477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0" w:firstLineChars="200"/>
        <w:jc w:val="both"/>
        <w:textAlignment w:val="auto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四、保证人承诺，无论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u w:val="single"/>
          <w:lang w:val="en-US" w:eastAsia="zh-CN" w:bidi="ar"/>
        </w:rPr>
        <w:t>安徽医科大学临床医学院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是否对被担保债权享有其他担保（包括但不限于保证、抵押、质押等），保证人在本承诺书项下的保证责任均不因此减免。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u w:val="single"/>
          <w:lang w:val="en-US" w:eastAsia="zh-CN" w:bidi="ar"/>
        </w:rPr>
        <w:t>安徽医科大学临床医学院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均可直接要求保证人依照本承诺书约定承担保证责任，保证人不提出任何异议。</w:t>
      </w:r>
    </w:p>
    <w:p w14:paraId="3B7E05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0" w:firstLineChars="200"/>
        <w:jc w:val="both"/>
        <w:textAlignment w:val="auto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 xml:space="preserve">五、保证人是具备完全民事行为能力的自然人，保证人为签订本承诺书提供的所有文件、信息及签字均真实、完整、有效 。 </w:t>
      </w:r>
    </w:p>
    <w:p w14:paraId="59172C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2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"/>
        </w:rPr>
        <w:t>六、保证人已充分理解并全面认可主合同及本承诺书的所有条款内容，并承诺任何情况下不得对其提出任何异议。</w:t>
      </w:r>
    </w:p>
    <w:p w14:paraId="2334CD96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360" w:right="0" w:firstLine="0" w:firstLineChars="0"/>
        <w:jc w:val="center"/>
        <w:textAlignment w:val="auto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sz w:val="24"/>
          <w:szCs w:val="24"/>
          <w:lang w:val="en-US"/>
        </w:rPr>
        <w:t xml:space="preserve">                               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保证人：</w:t>
      </w:r>
    </w:p>
    <w:p w14:paraId="145168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/>
        <w:jc w:val="center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 xml:space="preserve">                                  </w:t>
      </w:r>
    </w:p>
    <w:p w14:paraId="62DFE7A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rPr>
          <w:rFonts w:hint="eastAsia" w:ascii="仿宋" w:hAnsi="仿宋" w:eastAsia="仿宋" w:cs="仿宋"/>
          <w:lang w:val="en-US" w:eastAsia="zh-CN"/>
        </w:rPr>
      </w:pPr>
    </w:p>
    <w:p w14:paraId="30BF9D5C">
      <w:pPr>
        <w:pStyle w:val="6"/>
        <w:ind w:left="0" w:leftChars="0" w:firstLine="0" w:firstLine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附件三</w:t>
      </w:r>
    </w:p>
    <w:p w14:paraId="6B4FFA71">
      <w:pPr>
        <w:pStyle w:val="6"/>
        <w:ind w:left="0" w:leftChars="0" w:firstLine="0" w:firstLineChars="0"/>
        <w:jc w:val="center"/>
        <w:rPr>
          <w:rFonts w:hint="default" w:ascii="宋体" w:hAnsi="宋体" w:cs="宋体" w:eastAsiaTheme="minorEastAsia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  <w:t>医学信息处理实验室设备采购项目需求表（报价表）</w:t>
      </w:r>
    </w:p>
    <w:tbl>
      <w:tblPr>
        <w:tblStyle w:val="7"/>
        <w:tblW w:w="102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2031"/>
        <w:gridCol w:w="967"/>
        <w:gridCol w:w="1540"/>
        <w:gridCol w:w="1120"/>
        <w:gridCol w:w="1070"/>
        <w:gridCol w:w="1330"/>
        <w:gridCol w:w="1577"/>
      </w:tblGrid>
      <w:tr w14:paraId="73C36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454" w:hRule="exact"/>
          <w:jc w:val="center"/>
        </w:trPr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F14D7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BA1F1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设备名称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FE985">
            <w:pPr>
              <w:spacing w:before="100" w:beforeAutospacing="1" w:after="100" w:afterAutospacing="1" w:line="0" w:lineRule="atLeas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品牌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85D8A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型号规格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4F040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F5078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数量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E2691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25223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总价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</w:tr>
      <w:tr w14:paraId="2274C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exact"/>
          <w:jc w:val="center"/>
        </w:trPr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6F640">
            <w:pPr>
              <w:pStyle w:val="11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019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数字信号处理实验箱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DE21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5876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B8ED62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0371E3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AB093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190DC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6421E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exact"/>
          <w:jc w:val="center"/>
        </w:trPr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7809D">
            <w:pPr>
              <w:pStyle w:val="11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352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分光仪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359C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  <w:p w14:paraId="4F2834B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C7E0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243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1B65A"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65181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E84FF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1ACF1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  <w:jc w:val="center"/>
        </w:trPr>
        <w:tc>
          <w:tcPr>
            <w:tcW w:w="102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2AA95"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合计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大写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（</w:t>
            </w:r>
            <w:r>
              <w:rPr>
                <w:rFonts w:hint="default" w:ascii="Arial" w:hAnsi="Arial" w:eastAsia="宋体" w:cs="Arial"/>
                <w:sz w:val="21"/>
                <w:szCs w:val="21"/>
                <w:u w:val="single"/>
                <w:lang w:val="en-US" w:eastAsia="zh-CN"/>
              </w:rPr>
              <w:t>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>：              ）</w:t>
            </w:r>
          </w:p>
        </w:tc>
      </w:tr>
      <w:tr w14:paraId="0208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exact"/>
          <w:jc w:val="center"/>
        </w:trPr>
        <w:tc>
          <w:tcPr>
            <w:tcW w:w="102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53851">
            <w:pP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备注：报价均为含税、含运、安装和调试等价格。</w:t>
            </w:r>
          </w:p>
        </w:tc>
      </w:tr>
    </w:tbl>
    <w:p w14:paraId="42A0CC58">
      <w:pPr>
        <w:pStyle w:val="6"/>
        <w:ind w:left="0" w:leftChars="0" w:firstLine="0" w:firstLineChars="0"/>
        <w:rPr>
          <w:rFonts w:hint="eastAsia"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</w:rPr>
        <w:t> </w:t>
      </w:r>
    </w:p>
    <w:p w14:paraId="26C85A46">
      <w:pPr>
        <w:pStyle w:val="6"/>
        <w:ind w:left="0" w:leftChars="0" w:firstLine="0" w:firstLineChars="0"/>
        <w:rPr>
          <w:rFonts w:hint="eastAsia" w:ascii="宋体" w:hAnsi="宋体" w:cs="宋体"/>
          <w:sz w:val="28"/>
          <w:szCs w:val="28"/>
          <w:shd w:val="clear" w:color="auto" w:fill="FFFFFF"/>
        </w:rPr>
      </w:pPr>
    </w:p>
    <w:p w14:paraId="479E93A6">
      <w:pPr>
        <w:pStyle w:val="6"/>
        <w:ind w:left="0" w:leftChars="0" w:firstLine="0" w:firstLineChars="0"/>
        <w:rPr>
          <w:rFonts w:hint="eastAsia" w:ascii="宋体" w:hAnsi="宋体" w:cs="宋体"/>
          <w:sz w:val="28"/>
          <w:szCs w:val="28"/>
          <w:shd w:val="clear" w:color="auto" w:fill="FFFFFF"/>
        </w:rPr>
      </w:pPr>
    </w:p>
    <w:p w14:paraId="1C7A56D6">
      <w:pPr>
        <w:pStyle w:val="5"/>
        <w:rPr>
          <w:rFonts w:hint="eastAsia" w:ascii="宋体" w:hAnsi="宋体" w:cs="宋体"/>
          <w:sz w:val="28"/>
          <w:szCs w:val="28"/>
          <w:shd w:val="clear" w:color="auto" w:fill="FFFFFF"/>
        </w:rPr>
      </w:pPr>
    </w:p>
    <w:p w14:paraId="2EBC6E22">
      <w:pPr>
        <w:rPr>
          <w:rFonts w:hint="eastAsia" w:ascii="宋体" w:hAnsi="宋体" w:cs="宋体"/>
          <w:sz w:val="28"/>
          <w:szCs w:val="28"/>
          <w:shd w:val="clear" w:color="auto" w:fill="FFFFFF"/>
        </w:rPr>
      </w:pPr>
    </w:p>
    <w:p w14:paraId="411D5423">
      <w:pPr>
        <w:pStyle w:val="6"/>
        <w:ind w:left="0" w:leftChars="0" w:firstLine="0" w:firstLineChars="0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  <w:lang w:val="en-US" w:eastAsia="zh-CN"/>
        </w:rPr>
      </w:pPr>
    </w:p>
    <w:p w14:paraId="187A6F05">
      <w:pPr>
        <w:pStyle w:val="6"/>
        <w:ind w:left="0" w:leftChars="0" w:firstLine="0" w:firstLineChars="0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  <w:lang w:val="en-US" w:eastAsia="zh-CN"/>
        </w:rPr>
      </w:pPr>
    </w:p>
    <w:p w14:paraId="4B814C70">
      <w:pPr>
        <w:pStyle w:val="6"/>
        <w:ind w:left="0" w:leftChars="0" w:firstLine="0" w:firstLineChars="0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  <w:lang w:val="en-US" w:eastAsia="zh-CN"/>
        </w:rPr>
      </w:pPr>
    </w:p>
    <w:p w14:paraId="4B4F4152">
      <w:pPr>
        <w:pStyle w:val="6"/>
        <w:ind w:left="0" w:leftChars="0" w:firstLine="0" w:firstLineChars="0"/>
        <w:rPr>
          <w:rFonts w:hint="eastAsia"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  <w:lang w:val="en-US" w:eastAsia="zh-CN"/>
        </w:rPr>
        <w:t>附件四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 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    </w:t>
      </w:r>
    </w:p>
    <w:p w14:paraId="0F8AFB22">
      <w:pPr>
        <w:pStyle w:val="6"/>
        <w:ind w:left="0" w:leftChars="0" w:firstLine="0" w:firstLineChars="0"/>
        <w:jc w:val="center"/>
        <w:rPr>
          <w:rFonts w:hint="default"/>
          <w:lang w:val="en-US"/>
        </w:rPr>
      </w:pPr>
      <w:r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  <w:t>医学信息处理实验室设备参数偏离表</w:t>
      </w:r>
    </w:p>
    <w:p w14:paraId="48963427">
      <w:pPr>
        <w:rPr>
          <w:rFonts w:hint="default"/>
          <w:lang w:val="en-US"/>
        </w:rPr>
      </w:pPr>
    </w:p>
    <w:tbl>
      <w:tblPr>
        <w:tblStyle w:val="7"/>
        <w:tblW w:w="622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  <w:gridCol w:w="1000"/>
        <w:gridCol w:w="4233"/>
        <w:gridCol w:w="988"/>
        <w:gridCol w:w="1317"/>
        <w:gridCol w:w="1139"/>
        <w:gridCol w:w="1320"/>
      </w:tblGrid>
      <w:tr w14:paraId="4E544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10" w:hRule="atLeast"/>
          <w:jc w:val="center"/>
        </w:trPr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F6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8F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9B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招标需求</w:t>
            </w:r>
          </w:p>
        </w:tc>
        <w:tc>
          <w:tcPr>
            <w:tcW w:w="177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758D7">
            <w:pPr>
              <w:keepNext w:val="0"/>
              <w:keepLines w:val="0"/>
              <w:widowControl/>
              <w:suppressLineNumbers w:val="0"/>
              <w:ind w:firstLine="1265" w:firstLineChars="7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投标参数、型号</w:t>
            </w:r>
          </w:p>
        </w:tc>
      </w:tr>
      <w:tr w14:paraId="733E4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A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34C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设备（资源）名称</w:t>
            </w:r>
          </w:p>
        </w:tc>
        <w:tc>
          <w:tcPr>
            <w:tcW w:w="1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5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E1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参考品牌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1BD48">
            <w:pPr>
              <w:keepNext w:val="0"/>
              <w:keepLines w:val="0"/>
              <w:widowControl/>
              <w:suppressLineNumbers w:val="0"/>
              <w:ind w:firstLine="181" w:firstLine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45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投标品牌、型号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07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参数偏离值</w:t>
            </w:r>
          </w:p>
        </w:tc>
      </w:tr>
      <w:tr w14:paraId="4D0E4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atLeast"/>
          <w:jc w:val="center"/>
        </w:trPr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E07921">
            <w:pPr>
              <w:pStyle w:val="11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B32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数字信号处理实验箱</w:t>
            </w:r>
          </w:p>
        </w:tc>
        <w:tc>
          <w:tcPr>
            <w:tcW w:w="1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83772">
            <w:pPr>
              <w:numPr>
                <w:ilvl w:val="0"/>
                <w:numId w:val="0"/>
              </w:numPr>
              <w:tabs>
                <w:tab w:val="left" w:pos="215"/>
              </w:tabs>
              <w:spacing w:line="320" w:lineRule="exac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DSP5509模块板：主控制芯片为TMS320VC5509APGE(简称DSP5509)，DSP5509是TI公司的55X系列16BIT定点DSP，外部I/O供电为3.3V，内核供电为1.6V，主频最高可达200M。该CPU板片外扩展主要有8M×16bit的FLASH，4M×16bit的SDRAM及通过ST16C550扩展的UART接口和通过专用语音处理芯片TLV320AIC23扩展语音实验接口等。</w:t>
            </w:r>
          </w:p>
          <w:p w14:paraId="4031D978">
            <w:pPr>
              <w:numPr>
                <w:ilvl w:val="0"/>
                <w:numId w:val="0"/>
              </w:numPr>
              <w:tabs>
                <w:tab w:val="left" w:pos="215"/>
              </w:tabs>
              <w:spacing w:line="320" w:lineRule="exac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信号源板：可以提供两组频率和幅值可自由调节的正弦波、方波和三角波。</w:t>
            </w:r>
          </w:p>
          <w:p w14:paraId="2C15A820">
            <w:pPr>
              <w:numPr>
                <w:ilvl w:val="0"/>
                <w:numId w:val="0"/>
              </w:numPr>
              <w:tabs>
                <w:tab w:val="left" w:pos="215"/>
              </w:tabs>
              <w:spacing w:line="320" w:lineRule="exac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*液晶显示模块，采用240×128点阵的汉字图形型液晶显示模块，内置T6963C控制器。</w:t>
            </w:r>
          </w:p>
          <w:p w14:paraId="38D13C5B">
            <w:pPr>
              <w:numPr>
                <w:ilvl w:val="0"/>
                <w:numId w:val="0"/>
              </w:numPr>
              <w:tabs>
                <w:tab w:val="left" w:pos="215"/>
              </w:tabs>
              <w:spacing w:line="320" w:lineRule="exac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*键盘采用4×4的触摸键，操作方便，抗干扰性能强。</w:t>
            </w:r>
          </w:p>
          <w:p w14:paraId="2193EE56">
            <w:pPr>
              <w:numPr>
                <w:ilvl w:val="0"/>
                <w:numId w:val="0"/>
              </w:numPr>
              <w:tabs>
                <w:tab w:val="left" w:pos="215"/>
              </w:tabs>
              <w:spacing w:line="320" w:lineRule="exac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小直流电机扩展模块，采用PID闭环控制，可实现电机的平稳调速并在液晶上显示转速。</w:t>
            </w:r>
          </w:p>
          <w:p w14:paraId="1431BC94">
            <w:pPr>
              <w:numPr>
                <w:ilvl w:val="0"/>
                <w:numId w:val="0"/>
              </w:numPr>
              <w:tabs>
                <w:tab w:val="left" w:pos="215"/>
              </w:tabs>
              <w:spacing w:line="320" w:lineRule="exac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小步进电机扩展模块，可以通过程序实现对电机转速及正反转的控制。</w:t>
            </w:r>
          </w:p>
          <w:p w14:paraId="746903D0">
            <w:pPr>
              <w:numPr>
                <w:ilvl w:val="0"/>
                <w:numId w:val="0"/>
              </w:numPr>
              <w:tabs>
                <w:tab w:val="left" w:pos="215"/>
              </w:tabs>
              <w:spacing w:line="320" w:lineRule="exac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交通灯扩展模块，可以通过程序实现对交通灯控制过程的演示。</w:t>
            </w:r>
          </w:p>
          <w:p w14:paraId="4C935E8B">
            <w:pPr>
              <w:jc w:val="both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以太网通信模块，可通过网络实现数据的传输。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F5470">
            <w:pPr>
              <w:pStyle w:val="2"/>
              <w:bidi w:val="0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天煌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5399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6D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66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CB5D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E3ED50">
            <w:pPr>
              <w:pStyle w:val="11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821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分光仪</w:t>
            </w:r>
          </w:p>
        </w:tc>
        <w:tc>
          <w:tcPr>
            <w:tcW w:w="1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C65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</w:t>
            </w:r>
            <w:r>
              <w:rPr>
                <w:rStyle w:val="9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测角精度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‌：‌</w:t>
            </w:r>
            <w:r>
              <w:rPr>
                <w:rStyle w:val="9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1′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‌（1角分）。</w:t>
            </w:r>
          </w:p>
          <w:p w14:paraId="65430D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</w:t>
            </w:r>
            <w:r>
              <w:rPr>
                <w:rStyle w:val="9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平行光管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‌：</w:t>
            </w:r>
          </w:p>
          <w:p w14:paraId="28972FB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物镜焦距：170 mm。</w:t>
            </w:r>
          </w:p>
          <w:p w14:paraId="2A4153A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通光口径：φ33 mm。</w:t>
            </w:r>
          </w:p>
          <w:p w14:paraId="5BC85E4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视场：3°22′。</w:t>
            </w:r>
          </w:p>
          <w:p w14:paraId="1AE3C8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</w:t>
            </w:r>
            <w:r>
              <w:rPr>
                <w:rStyle w:val="9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望远镜系统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‌：</w:t>
            </w:r>
          </w:p>
          <w:p w14:paraId="775A0B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倍率：7×。</w:t>
            </w:r>
          </w:p>
          <w:p w14:paraId="0CE503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视场：3°22′。</w:t>
            </w:r>
          </w:p>
          <w:p w14:paraId="1D698F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出瞳直径：φ3.14 mm。</w:t>
            </w:r>
          </w:p>
          <w:p w14:paraId="47250B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</w:t>
            </w:r>
            <w:r>
              <w:rPr>
                <w:rStyle w:val="9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刻度盘与读数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‌：</w:t>
            </w:r>
          </w:p>
          <w:p w14:paraId="50B807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刻度盘直径：φ178 mm。</w:t>
            </w:r>
          </w:p>
          <w:p w14:paraId="7DC485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刻度范围：0°–360°。</w:t>
            </w:r>
          </w:p>
          <w:p w14:paraId="7B81FC8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刻度格值：0.5°。</w:t>
            </w:r>
          </w:p>
          <w:p w14:paraId="6F0D2D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游标读数示值：1′。</w:t>
            </w:r>
          </w:p>
          <w:p w14:paraId="53BEFD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</w:t>
            </w:r>
            <w:r>
              <w:rPr>
                <w:rStyle w:val="9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载物台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‌：</w:t>
            </w:r>
          </w:p>
          <w:p w14:paraId="6ED1C6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直径：φ70 mm。</w:t>
            </w:r>
          </w:p>
          <w:p w14:paraId="4D8B9E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旋转角度：360°。</w:t>
            </w:r>
          </w:p>
          <w:p w14:paraId="015DCB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升降范围：20 mm。</w:t>
            </w:r>
          </w:p>
          <w:p w14:paraId="46694F2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</w:t>
            </w:r>
            <w:r>
              <w:rPr>
                <w:rStyle w:val="9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狭缝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‌：</w:t>
            </w:r>
          </w:p>
          <w:p w14:paraId="718B0D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宽度调节范围：0.02–2 mm。</w:t>
            </w:r>
          </w:p>
          <w:p w14:paraId="5FD4EC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</w:t>
            </w:r>
            <w:r>
              <w:rPr>
                <w:rStyle w:val="9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照明系统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‌：采用‌</w:t>
            </w:r>
            <w:r>
              <w:rPr>
                <w:rStyle w:val="9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长寿命高亮度绿色发光二极管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‌，支持3V电池盒或220V电源供电。</w:t>
            </w:r>
          </w:p>
          <w:p w14:paraId="5303FC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</w:t>
            </w:r>
            <w:r>
              <w:rPr>
                <w:rStyle w:val="9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主要附件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‌：</w:t>
            </w:r>
          </w:p>
          <w:p w14:paraId="69F04A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等边三棱镜（棱角60°±5′，材料为ZF1或ZF2光学玻璃）。</w:t>
            </w:r>
          </w:p>
          <w:p w14:paraId="35697A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平面全息光栅（300条/mm）。</w:t>
            </w:r>
          </w:p>
          <w:p w14:paraId="634E98B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光学平行平板（φ30 mm）。</w:t>
            </w:r>
          </w:p>
          <w:p w14:paraId="369C20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可选配起偏器、检偏器、1/4波片等，用于偏振光实验（如测量布儒斯特角）。</w:t>
            </w:r>
          </w:p>
          <w:p w14:paraId="38C507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</w:t>
            </w:r>
            <w:r>
              <w:rPr>
                <w:rStyle w:val="9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仪器尺寸与重量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‌：外形尺寸约为520 mm × 250 mm × 250 mm，净重约12 kg。</w:t>
            </w:r>
          </w:p>
          <w:p w14:paraId="5169FF90">
            <w:pPr>
              <w:jc w:val="left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该型号仪器具备高精度测角功能，并可通过扩展配件进行光的偏振、衍射等综合性光学实验。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br w:type="textWrapping"/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F8D7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抗光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B42B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F2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14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030C3A8C">
      <w:pPr>
        <w:pStyle w:val="6"/>
        <w:ind w:left="0" w:leftChars="0" w:firstLine="0" w:firstLineChars="0"/>
        <w:rPr>
          <w:rFonts w:hint="eastAsia" w:ascii="宋体" w:hAnsi="宋体" w:eastAsia="宋体" w:cs="宋体"/>
          <w:sz w:val="18"/>
          <w:szCs w:val="18"/>
          <w:lang w:val="en-US"/>
        </w:rPr>
      </w:pPr>
    </w:p>
    <w:p w14:paraId="5D078EC6">
      <w:pPr>
        <w:pStyle w:val="5"/>
        <w:rPr>
          <w:rFonts w:hint="default"/>
          <w:lang w:val="en-US"/>
        </w:rPr>
      </w:pPr>
    </w:p>
    <w:p w14:paraId="1FBEAAA2">
      <w:pPr>
        <w:rPr>
          <w:rFonts w:hint="default"/>
          <w:lang w:val="en-US"/>
        </w:rPr>
      </w:pPr>
    </w:p>
    <w:p w14:paraId="7B38C2F6">
      <w:pPr>
        <w:pStyle w:val="2"/>
        <w:rPr>
          <w:rFonts w:hint="default"/>
          <w:lang w:val="en-US" w:eastAsia="zh-CN"/>
        </w:rPr>
      </w:pPr>
    </w:p>
    <w:p w14:paraId="1E3549DE">
      <w:pPr>
        <w:rPr>
          <w:rFonts w:hint="default"/>
          <w:lang w:val="en-US" w:eastAsia="zh-CN"/>
        </w:rPr>
      </w:pPr>
    </w:p>
    <w:p w14:paraId="4D9E22F5">
      <w:pPr>
        <w:rPr>
          <w:rFonts w:hint="default"/>
          <w:lang w:val="en-US" w:eastAsia="zh-CN"/>
        </w:rPr>
      </w:pPr>
    </w:p>
    <w:p w14:paraId="6532AC84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@微软简标宋">
    <w:altName w:val="@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FEAA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772A6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772A6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895679"/>
    <w:multiLevelType w:val="multilevel"/>
    <w:tmpl w:val="C7895679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D6177"/>
    <w:rsid w:val="75CD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@微软简标宋" w:hAnsi="@微软简标宋" w:eastAsia="@微软简标宋" w:cs="@微软简标宋"/>
      <w:szCs w:val="24"/>
      <w:lang w:val="zh-CN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Body Text First Indent"/>
    <w:basedOn w:val="2"/>
    <w:next w:val="1"/>
    <w:qFormat/>
    <w:uiPriority w:val="0"/>
    <w:pPr>
      <w:adjustRightInd w:val="0"/>
      <w:spacing w:line="360" w:lineRule="auto"/>
      <w:ind w:firstLine="420"/>
      <w:textAlignment w:val="baseline"/>
    </w:pPr>
    <w:rPr>
      <w:rFonts w:ascii="Calibri" w:hAnsi="Calibri" w:eastAsia="楷体_GB2312"/>
      <w:sz w:val="24"/>
    </w:rPr>
  </w:style>
  <w:style w:type="paragraph" w:styleId="6">
    <w:name w:val="Body Text First Indent 2"/>
    <w:basedOn w:val="3"/>
    <w:next w:val="5"/>
    <w:qFormat/>
    <w:uiPriority w:val="0"/>
    <w:pPr>
      <w:ind w:firstLine="420" w:firstLineChars="200"/>
    </w:p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0"/>
      <w:lang w:val="en-US" w:eastAsia="zh-CN" w:bidi="ar"/>
    </w:rPr>
  </w:style>
  <w:style w:type="paragraph" w:customStyle="1" w:styleId="11">
    <w:name w:val="表格"/>
    <w:basedOn w:val="1"/>
    <w:qFormat/>
    <w:uiPriority w:val="0"/>
    <w:pPr>
      <w:spacing w:before="100" w:beforeAutospacing="1"/>
      <w:jc w:val="center"/>
    </w:pPr>
    <w:rPr>
      <w:rFonts w:hAnsi="宋体"/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2026-03-23T08:31:00Z</dcterms:created>
  <dc:creator>心若向阳</dc:creator>
  <cp:lastModifiedBy>心若向阳</cp:lastModifiedBy>
  <dcterms:modified xsi:type="dcterms:W3CDTF">2026-03-23T08:32:00Z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6DFDA445DCD34E738A4AA59D6334F94D_11</vt:lpwstr>
  </property>
  <property fmtid="{D5CDD505-2E9C-101B-9397-08002B2CF9AE}" pid="4" name="KSOTemplateDocerSaveRecord">
    <vt:lpwstr>eyJoZGlkIjoiNWRkZWEwYjc3ZjU0NTk3MTZjMGQwMGQwN2RkMDczMzMiLCJ1c2VySWQiOiI0NDcxMDY1MDAifQ==</vt:lpwstr>
  </property>
</Properties>
</file>